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89BD" w14:textId="77777777" w:rsidR="005D2F23" w:rsidRDefault="0062045D">
      <w:pPr>
        <w:spacing w:before="240" w:after="240"/>
      </w:pPr>
      <w:r>
        <w:rPr>
          <w:rFonts w:eastAsia="Aptos" w:cs="Aptos"/>
          <w:b/>
          <w:bCs/>
        </w:rPr>
        <w:t>PRESS RELEASE</w:t>
      </w:r>
    </w:p>
    <w:p w14:paraId="399689BE" w14:textId="77777777" w:rsidR="005D2F23" w:rsidRDefault="0062045D">
      <w:pPr>
        <w:spacing w:before="240" w:after="240"/>
      </w:pPr>
      <w:r>
        <w:rPr>
          <w:rFonts w:eastAsia="Aptos" w:cs="Aptos"/>
          <w:b/>
          <w:bCs/>
        </w:rPr>
        <w:t>Haiti: Médecins Sans Frontières Partially Resumes Medical Activities in Port-au-Prince</w:t>
      </w:r>
    </w:p>
    <w:p w14:paraId="399689BF" w14:textId="77777777" w:rsidR="005D2F23" w:rsidRDefault="0062045D">
      <w:pPr>
        <w:spacing w:before="240" w:after="240"/>
      </w:pPr>
      <w:r>
        <w:rPr>
          <w:rFonts w:eastAsia="Aptos" w:cs="Aptos"/>
          <w:b/>
          <w:bCs/>
        </w:rPr>
        <w:t>Port-au-Prince, December 11, 2024</w:t>
      </w:r>
      <w:r>
        <w:rPr>
          <w:rFonts w:eastAsia="Aptos" w:cs="Aptos"/>
        </w:rPr>
        <w:t xml:space="preserve"> – Médecins Sans Frontières (MSF) is partially resuming its medical activities in the </w:t>
      </w:r>
      <w:r>
        <w:rPr>
          <w:rFonts w:eastAsia="Aptos" w:cs="Aptos"/>
        </w:rPr>
        <w:t>Port-au-Prince metropolitan area after a 22-day suspension caused by repeated threats and violence against its staff and patients.</w:t>
      </w:r>
    </w:p>
    <w:p w14:paraId="399689C0" w14:textId="77777777" w:rsidR="005D2F23" w:rsidRDefault="0062045D">
      <w:pPr>
        <w:spacing w:before="240" w:after="240"/>
        <w:rPr>
          <w:rFonts w:eastAsia="Aptos" w:cs="Aptos"/>
        </w:rPr>
      </w:pPr>
      <w:r>
        <w:rPr>
          <w:rFonts w:eastAsia="Aptos" w:cs="Aptos"/>
        </w:rPr>
        <w:t>The decision to suspend MSF’s activities, even temporarily, was extremely difficult because the city is heavily affected by violence, and the medical needs are immense. Thousands of people are seeking basic healthcare, while the health system is weakened by violence and mass displacement. The few remaining public and private facilities are overwhelmed by the growing needs, leaving many people without any option for care.</w:t>
      </w:r>
    </w:p>
    <w:p w14:paraId="399689C1" w14:textId="77777777" w:rsidR="005D2F23" w:rsidRDefault="0062045D">
      <w:pPr>
        <w:spacing w:before="240" w:after="240"/>
        <w:rPr>
          <w:rFonts w:eastAsia="Aptos" w:cs="Aptos"/>
        </w:rPr>
      </w:pPr>
      <w:r>
        <w:rPr>
          <w:rFonts w:eastAsia="Aptos" w:cs="Aptos"/>
        </w:rPr>
        <w:t>However, the seriousness of the attacks against MSF’s staff and ambulances forced the organization to take this step.</w:t>
      </w:r>
    </w:p>
    <w:p w14:paraId="399689C2" w14:textId="77777777" w:rsidR="005D2F23" w:rsidRDefault="0062045D">
      <w:pPr>
        <w:spacing w:before="240" w:after="240"/>
        <w:rPr>
          <w:rFonts w:eastAsia="Aptos" w:cs="Aptos"/>
        </w:rPr>
      </w:pPr>
      <w:r>
        <w:rPr>
          <w:rFonts w:eastAsia="Aptos" w:cs="Aptos"/>
        </w:rPr>
        <w:t xml:space="preserve">MSF is now resuming activities thanks to a constructive dialogue with key stakeholders and involvement by the authorities to ensure respect for our teams and our medical mission.  Nevertheless, the risk for our teams and patients remains high, particularly in ambulances. As a result, our transportation of patients remains suspended for now, and Turgeau Hospital remains closed, because it can only operate when we can safely transfer patients to other facilities when needed. </w:t>
      </w:r>
    </w:p>
    <w:p w14:paraId="399689C3" w14:textId="77777777" w:rsidR="005D2F23" w:rsidRDefault="0062045D">
      <w:pPr>
        <w:spacing w:before="240" w:after="240"/>
        <w:rPr>
          <w:rFonts w:eastAsia="Aptos" w:cs="Aptos"/>
        </w:rPr>
      </w:pPr>
      <w:r>
        <w:rPr>
          <w:rFonts w:eastAsia="Aptos" w:cs="Aptos"/>
        </w:rPr>
        <w:t>Today, we are reopening the Tabarre, Carrefour and Cité Soleil hospitals and the Pran Men'm clinic.</w:t>
      </w:r>
    </w:p>
    <w:p w14:paraId="399689C4" w14:textId="77777777" w:rsidR="005D2F23" w:rsidRDefault="0062045D">
      <w:pPr>
        <w:spacing w:before="240" w:after="240"/>
        <w:rPr>
          <w:rFonts w:eastAsia="Aptos" w:cs="Aptos"/>
        </w:rPr>
      </w:pPr>
      <w:r>
        <w:rPr>
          <w:rFonts w:eastAsia="Aptos" w:cs="Aptos"/>
        </w:rPr>
        <w:t>MSF is calling again for all parties to respect our staff, patients, and medical facilities, which is essential for our activities to continue.</w:t>
      </w:r>
    </w:p>
    <w:p w14:paraId="399689C5" w14:textId="77777777" w:rsidR="005D2F23" w:rsidRDefault="0062045D">
      <w:pPr>
        <w:spacing w:before="240" w:after="240"/>
        <w:rPr>
          <w:rFonts w:eastAsia="Aptos" w:cs="Aptos"/>
        </w:rPr>
      </w:pPr>
      <w:r>
        <w:rPr>
          <w:rFonts w:eastAsia="Aptos" w:cs="Aptos"/>
        </w:rPr>
        <w:t>“These past three weeks have been especially painful,” said Jean-Marc Biquet, MSF head of mission in Haiti. “We had to suspend admissions of new patients, fully aware that many were unable to access the care they desperately needed. We are continuing our efforts to ensure that it is safe enough to fully resume our activities. Despite the commitments made by the authorities, the risks remain high, and our ability to continue our work in Haiti is uncertain as we move ahead. We call on all parties to respect o</w:t>
      </w:r>
      <w:r>
        <w:rPr>
          <w:rFonts w:eastAsia="Aptos" w:cs="Aptos"/>
        </w:rPr>
        <w:t>ur medical and humanitarian mission so that we can respond to medical needs to the full extent of our capacity.”</w:t>
      </w:r>
    </w:p>
    <w:p w14:paraId="399689C6" w14:textId="77777777" w:rsidR="005D2F23" w:rsidRDefault="005D2F23">
      <w:pPr>
        <w:spacing w:before="240" w:after="240"/>
        <w:rPr>
          <w:rFonts w:eastAsia="Aptos" w:cs="Aptos"/>
        </w:rPr>
      </w:pPr>
    </w:p>
    <w:p w14:paraId="399689C7" w14:textId="77777777" w:rsidR="005D2F23" w:rsidRDefault="0062045D">
      <w:pPr>
        <w:spacing w:before="240" w:after="240"/>
      </w:pPr>
      <w:r>
        <w:rPr>
          <w:rFonts w:eastAsia="Aptos" w:cs="Aptos"/>
          <w:b/>
          <w:bCs/>
        </w:rPr>
        <w:t>NOTES TO EDITORS</w:t>
      </w:r>
    </w:p>
    <w:p w14:paraId="399689C8" w14:textId="77777777" w:rsidR="005D2F23" w:rsidRDefault="0062045D">
      <w:pPr>
        <w:spacing w:before="240" w:after="240"/>
        <w:rPr>
          <w:rFonts w:eastAsia="Aptos" w:cs="Aptos"/>
        </w:rPr>
      </w:pPr>
      <w:r>
        <w:rPr>
          <w:rFonts w:eastAsia="Aptos" w:cs="Aptos"/>
        </w:rPr>
        <w:t>The services resuming as of Wednesday, December 11, include:</w:t>
      </w:r>
    </w:p>
    <w:tbl>
      <w:tblPr>
        <w:tblW w:w="9360" w:type="dxa"/>
        <w:tblLayout w:type="fixed"/>
        <w:tblCellMar>
          <w:left w:w="10" w:type="dxa"/>
          <w:right w:w="10" w:type="dxa"/>
        </w:tblCellMar>
        <w:tblLook w:val="0000" w:firstRow="0" w:lastRow="0" w:firstColumn="0" w:lastColumn="0" w:noHBand="0" w:noVBand="0"/>
      </w:tblPr>
      <w:tblGrid>
        <w:gridCol w:w="2833"/>
        <w:gridCol w:w="6527"/>
      </w:tblGrid>
      <w:tr w:rsidR="005D2F23" w14:paraId="399689CB" w14:textId="77777777">
        <w:tblPrEx>
          <w:tblCellMar>
            <w:top w:w="0" w:type="dxa"/>
            <w:bottom w:w="0" w:type="dxa"/>
          </w:tblCellMar>
        </w:tblPrEx>
        <w:trPr>
          <w:trHeight w:val="300"/>
        </w:trPr>
        <w:tc>
          <w:tcPr>
            <w:tcW w:w="2833" w:type="dxa"/>
            <w:tcBorders>
              <w:top w:val="single" w:sz="6" w:space="0" w:color="000000"/>
              <w:left w:val="single" w:sz="6" w:space="0" w:color="000000"/>
              <w:bottom w:val="single" w:sz="4" w:space="0" w:color="BFBFBF"/>
              <w:right w:val="single" w:sz="4" w:space="0" w:color="BFBFBF"/>
            </w:tcBorders>
            <w:shd w:val="clear" w:color="auto" w:fill="auto"/>
            <w:tcMar>
              <w:top w:w="0" w:type="dxa"/>
              <w:left w:w="90" w:type="dxa"/>
              <w:bottom w:w="0" w:type="dxa"/>
              <w:right w:w="90" w:type="dxa"/>
            </w:tcMar>
          </w:tcPr>
          <w:p w14:paraId="399689C9" w14:textId="77777777" w:rsidR="005D2F23" w:rsidRDefault="0062045D">
            <w:pPr>
              <w:spacing w:before="240" w:after="240" w:line="240" w:lineRule="auto"/>
            </w:pPr>
            <w:r>
              <w:rPr>
                <w:rFonts w:eastAsia="Aptos" w:cs="Aptos"/>
                <w:b/>
                <w:bCs/>
              </w:rPr>
              <w:t>Facilities</w:t>
            </w:r>
          </w:p>
        </w:tc>
        <w:tc>
          <w:tcPr>
            <w:tcW w:w="6527" w:type="dxa"/>
            <w:tcBorders>
              <w:top w:val="single" w:sz="6" w:space="0" w:color="000000"/>
              <w:left w:val="single" w:sz="4" w:space="0" w:color="BFBFBF"/>
              <w:bottom w:val="single" w:sz="4" w:space="0" w:color="BFBFBF"/>
              <w:right w:val="single" w:sz="6" w:space="0" w:color="000000"/>
            </w:tcBorders>
            <w:shd w:val="clear" w:color="auto" w:fill="auto"/>
            <w:tcMar>
              <w:top w:w="0" w:type="dxa"/>
              <w:left w:w="90" w:type="dxa"/>
              <w:bottom w:w="0" w:type="dxa"/>
              <w:right w:w="90" w:type="dxa"/>
            </w:tcMar>
          </w:tcPr>
          <w:p w14:paraId="399689CA" w14:textId="77777777" w:rsidR="005D2F23" w:rsidRDefault="0062045D">
            <w:pPr>
              <w:spacing w:before="240" w:after="240" w:line="240" w:lineRule="auto"/>
            </w:pPr>
            <w:r>
              <w:rPr>
                <w:rFonts w:eastAsia="Aptos" w:cs="Aptos"/>
                <w:b/>
                <w:bCs/>
                <w:color w:val="000000"/>
              </w:rPr>
              <w:t xml:space="preserve">Services </w:t>
            </w:r>
            <w:r>
              <w:rPr>
                <w:rFonts w:eastAsia="Aptos" w:cs="Aptos"/>
                <w:b/>
                <w:bCs/>
              </w:rPr>
              <w:t>Services Offered</w:t>
            </w:r>
            <w:r>
              <w:rPr>
                <w:rFonts w:eastAsia="Aptos" w:cs="Aptos"/>
                <w:b/>
                <w:bCs/>
                <w:color w:val="000000"/>
              </w:rPr>
              <w:t xml:space="preserve"> </w:t>
            </w:r>
          </w:p>
        </w:tc>
      </w:tr>
      <w:tr w:rsidR="005D2F23" w14:paraId="399689D1" w14:textId="77777777">
        <w:tblPrEx>
          <w:tblCellMar>
            <w:top w:w="0" w:type="dxa"/>
            <w:bottom w:w="0" w:type="dxa"/>
          </w:tblCellMar>
        </w:tblPrEx>
        <w:trPr>
          <w:trHeight w:val="300"/>
        </w:trPr>
        <w:tc>
          <w:tcPr>
            <w:tcW w:w="2833" w:type="dxa"/>
            <w:tcBorders>
              <w:top w:val="single" w:sz="4" w:space="0" w:color="BFBFBF"/>
              <w:left w:val="single" w:sz="6" w:space="0" w:color="000000"/>
              <w:bottom w:val="single" w:sz="4" w:space="0" w:color="BFBFBF"/>
              <w:right w:val="single" w:sz="4" w:space="0" w:color="BFBFBF"/>
            </w:tcBorders>
            <w:shd w:val="clear" w:color="auto" w:fill="auto"/>
            <w:tcMar>
              <w:top w:w="0" w:type="dxa"/>
              <w:left w:w="90" w:type="dxa"/>
              <w:bottom w:w="0" w:type="dxa"/>
              <w:right w:w="90" w:type="dxa"/>
            </w:tcMar>
          </w:tcPr>
          <w:p w14:paraId="399689CC" w14:textId="77777777" w:rsidR="005D2F23" w:rsidRDefault="0062045D">
            <w:pPr>
              <w:spacing w:before="240" w:after="240" w:line="240" w:lineRule="auto"/>
            </w:pPr>
            <w:r>
              <w:rPr>
                <w:rFonts w:eastAsia="Aptos" w:cs="Aptos"/>
                <w:b/>
                <w:bCs/>
              </w:rPr>
              <w:t>Tabarre Trauma Center</w:t>
            </w:r>
          </w:p>
        </w:tc>
        <w:tc>
          <w:tcPr>
            <w:tcW w:w="6527" w:type="dxa"/>
            <w:tcBorders>
              <w:top w:val="single" w:sz="4" w:space="0" w:color="BFBFBF"/>
              <w:left w:val="single" w:sz="4" w:space="0" w:color="BFBFBF"/>
              <w:bottom w:val="single" w:sz="4" w:space="0" w:color="BFBFBF"/>
              <w:right w:val="single" w:sz="6" w:space="0" w:color="000000"/>
            </w:tcBorders>
            <w:shd w:val="clear" w:color="auto" w:fill="auto"/>
            <w:tcMar>
              <w:top w:w="0" w:type="dxa"/>
              <w:left w:w="90" w:type="dxa"/>
              <w:bottom w:w="0" w:type="dxa"/>
              <w:right w:w="90" w:type="dxa"/>
            </w:tcMar>
          </w:tcPr>
          <w:p w14:paraId="399689CD" w14:textId="77777777" w:rsidR="005D2F23" w:rsidRDefault="0062045D">
            <w:pPr>
              <w:pStyle w:val="ListParagraph"/>
              <w:numPr>
                <w:ilvl w:val="0"/>
                <w:numId w:val="1"/>
              </w:numPr>
              <w:spacing w:after="0" w:line="240" w:lineRule="auto"/>
              <w:rPr>
                <w:rFonts w:eastAsia="Aptos" w:cs="Aptos"/>
              </w:rPr>
            </w:pPr>
            <w:r>
              <w:rPr>
                <w:rFonts w:eastAsia="Aptos" w:cs="Aptos"/>
              </w:rPr>
              <w:t>Emergency medical and surgical care, including trauma and burn treatment.</w:t>
            </w:r>
          </w:p>
          <w:p w14:paraId="399689CE" w14:textId="77777777" w:rsidR="005D2F23" w:rsidRDefault="0062045D">
            <w:pPr>
              <w:pStyle w:val="ListParagraph"/>
              <w:numPr>
                <w:ilvl w:val="0"/>
                <w:numId w:val="1"/>
              </w:numPr>
              <w:spacing w:after="0" w:line="240" w:lineRule="auto"/>
              <w:rPr>
                <w:rFonts w:eastAsia="Aptos" w:cs="Aptos"/>
              </w:rPr>
            </w:pPr>
            <w:r>
              <w:rPr>
                <w:rFonts w:eastAsia="Aptos" w:cs="Aptos"/>
              </w:rPr>
              <w:t xml:space="preserve">Outpatient care for wound dressing, physiotherapy, and </w:t>
            </w:r>
            <w:r>
              <w:rPr>
                <w:rFonts w:eastAsia="Aptos" w:cs="Aptos"/>
              </w:rPr>
              <w:t>physical rehabilitation.</w:t>
            </w:r>
          </w:p>
          <w:p w14:paraId="399689CF" w14:textId="77777777" w:rsidR="005D2F23" w:rsidRDefault="0062045D">
            <w:pPr>
              <w:pStyle w:val="ListParagraph"/>
              <w:numPr>
                <w:ilvl w:val="0"/>
                <w:numId w:val="1"/>
              </w:numPr>
              <w:spacing w:after="0" w:line="240" w:lineRule="auto"/>
              <w:rPr>
                <w:rFonts w:eastAsia="Aptos" w:cs="Aptos"/>
              </w:rPr>
            </w:pPr>
            <w:r>
              <w:rPr>
                <w:rFonts w:eastAsia="Aptos" w:cs="Aptos"/>
              </w:rPr>
              <w:t>Surgical procedures (trauma and burns).</w:t>
            </w:r>
          </w:p>
          <w:p w14:paraId="399689D0" w14:textId="77777777" w:rsidR="005D2F23" w:rsidRDefault="0062045D">
            <w:pPr>
              <w:pStyle w:val="ListParagraph"/>
              <w:numPr>
                <w:ilvl w:val="0"/>
                <w:numId w:val="1"/>
              </w:numPr>
              <w:spacing w:after="0" w:line="240" w:lineRule="auto"/>
              <w:rPr>
                <w:rFonts w:eastAsia="Aptos" w:cs="Aptos"/>
              </w:rPr>
            </w:pPr>
            <w:r>
              <w:rPr>
                <w:rFonts w:eastAsia="Aptos" w:cs="Aptos"/>
              </w:rPr>
              <w:t>Physiotherapy sessions and 3D compression masks for burn patients.</w:t>
            </w:r>
          </w:p>
        </w:tc>
      </w:tr>
      <w:tr w:rsidR="005D2F23" w14:paraId="399689D7" w14:textId="77777777">
        <w:tblPrEx>
          <w:tblCellMar>
            <w:top w:w="0" w:type="dxa"/>
            <w:bottom w:w="0" w:type="dxa"/>
          </w:tblCellMar>
        </w:tblPrEx>
        <w:trPr>
          <w:trHeight w:val="300"/>
        </w:trPr>
        <w:tc>
          <w:tcPr>
            <w:tcW w:w="2833" w:type="dxa"/>
            <w:tcBorders>
              <w:top w:val="single" w:sz="4" w:space="0" w:color="BFBFBF"/>
              <w:left w:val="single" w:sz="6" w:space="0" w:color="000000"/>
              <w:bottom w:val="single" w:sz="4" w:space="0" w:color="BFBFBF"/>
              <w:right w:val="single" w:sz="4" w:space="0" w:color="BFBFBF"/>
            </w:tcBorders>
            <w:shd w:val="clear" w:color="auto" w:fill="auto"/>
            <w:tcMar>
              <w:top w:w="0" w:type="dxa"/>
              <w:left w:w="90" w:type="dxa"/>
              <w:bottom w:w="0" w:type="dxa"/>
              <w:right w:w="90" w:type="dxa"/>
            </w:tcMar>
          </w:tcPr>
          <w:p w14:paraId="399689D2" w14:textId="77777777" w:rsidR="005D2F23" w:rsidRDefault="0062045D">
            <w:pPr>
              <w:spacing w:before="240" w:after="240" w:line="240" w:lineRule="auto"/>
            </w:pPr>
            <w:r>
              <w:rPr>
                <w:rFonts w:eastAsia="Aptos" w:cs="Aptos"/>
                <w:b/>
                <w:bCs/>
              </w:rPr>
              <w:t>Drouillard Hospital</w:t>
            </w:r>
          </w:p>
        </w:tc>
        <w:tc>
          <w:tcPr>
            <w:tcW w:w="6527" w:type="dxa"/>
            <w:tcBorders>
              <w:top w:val="single" w:sz="4" w:space="0" w:color="BFBFBF"/>
              <w:left w:val="single" w:sz="4" w:space="0" w:color="BFBFBF"/>
              <w:bottom w:val="single" w:sz="4" w:space="0" w:color="BFBFBF"/>
              <w:right w:val="single" w:sz="6" w:space="0" w:color="000000"/>
            </w:tcBorders>
            <w:shd w:val="clear" w:color="auto" w:fill="auto"/>
            <w:tcMar>
              <w:top w:w="0" w:type="dxa"/>
              <w:left w:w="90" w:type="dxa"/>
              <w:bottom w:w="0" w:type="dxa"/>
              <w:right w:w="90" w:type="dxa"/>
            </w:tcMar>
          </w:tcPr>
          <w:p w14:paraId="399689D3" w14:textId="77777777" w:rsidR="005D2F23" w:rsidRDefault="0062045D">
            <w:pPr>
              <w:pStyle w:val="ListParagraph"/>
              <w:numPr>
                <w:ilvl w:val="0"/>
                <w:numId w:val="1"/>
              </w:numPr>
              <w:spacing w:after="0" w:line="240" w:lineRule="auto"/>
              <w:rPr>
                <w:rFonts w:eastAsia="Aptos" w:cs="Aptos"/>
              </w:rPr>
            </w:pPr>
            <w:r>
              <w:rPr>
                <w:rFonts w:eastAsia="Aptos" w:cs="Aptos"/>
              </w:rPr>
              <w:t>Intensive and emergency care, including trauma and obstetric emergencies.</w:t>
            </w:r>
          </w:p>
          <w:p w14:paraId="399689D4" w14:textId="77777777" w:rsidR="005D2F23" w:rsidRDefault="0062045D">
            <w:pPr>
              <w:pStyle w:val="ListParagraph"/>
              <w:numPr>
                <w:ilvl w:val="0"/>
                <w:numId w:val="1"/>
              </w:numPr>
              <w:spacing w:after="0" w:line="240" w:lineRule="auto"/>
              <w:rPr>
                <w:rFonts w:eastAsia="Aptos" w:cs="Aptos"/>
              </w:rPr>
            </w:pPr>
            <w:r>
              <w:rPr>
                <w:rFonts w:eastAsia="Aptos" w:cs="Aptos"/>
              </w:rPr>
              <w:t>Hospitalization in pediatrics and adult internal medicine.</w:t>
            </w:r>
          </w:p>
          <w:p w14:paraId="399689D5" w14:textId="77777777" w:rsidR="005D2F23" w:rsidRDefault="0062045D">
            <w:pPr>
              <w:pStyle w:val="ListParagraph"/>
              <w:numPr>
                <w:ilvl w:val="0"/>
                <w:numId w:val="1"/>
              </w:numPr>
              <w:spacing w:after="0" w:line="240" w:lineRule="auto"/>
              <w:rPr>
                <w:rFonts w:eastAsia="Aptos" w:cs="Aptos"/>
              </w:rPr>
            </w:pPr>
            <w:r>
              <w:rPr>
                <w:rFonts w:eastAsia="Aptos" w:cs="Aptos"/>
              </w:rPr>
              <w:t>Outpatient consultations.</w:t>
            </w:r>
          </w:p>
          <w:p w14:paraId="399689D6" w14:textId="77777777" w:rsidR="005D2F23" w:rsidRDefault="0062045D">
            <w:pPr>
              <w:pStyle w:val="ListParagraph"/>
              <w:numPr>
                <w:ilvl w:val="0"/>
                <w:numId w:val="1"/>
              </w:numPr>
              <w:spacing w:after="0" w:line="240" w:lineRule="auto"/>
              <w:rPr>
                <w:rFonts w:eastAsia="Aptos" w:cs="Aptos"/>
              </w:rPr>
            </w:pPr>
            <w:r>
              <w:rPr>
                <w:rFonts w:eastAsia="Aptos" w:cs="Aptos"/>
              </w:rPr>
              <w:t>Support and care for survivors of sexual and gender-based violence.</w:t>
            </w:r>
          </w:p>
        </w:tc>
      </w:tr>
      <w:tr w:rsidR="005D2F23" w14:paraId="399689DF" w14:textId="77777777">
        <w:tblPrEx>
          <w:tblCellMar>
            <w:top w:w="0" w:type="dxa"/>
            <w:bottom w:w="0" w:type="dxa"/>
          </w:tblCellMar>
        </w:tblPrEx>
        <w:trPr>
          <w:trHeight w:val="300"/>
        </w:trPr>
        <w:tc>
          <w:tcPr>
            <w:tcW w:w="2833" w:type="dxa"/>
            <w:tcBorders>
              <w:top w:val="single" w:sz="4" w:space="0" w:color="BFBFBF"/>
              <w:left w:val="single" w:sz="6" w:space="0" w:color="000000"/>
              <w:bottom w:val="single" w:sz="4" w:space="0" w:color="BFBFBF"/>
              <w:right w:val="single" w:sz="4" w:space="0" w:color="BFBFBF"/>
            </w:tcBorders>
            <w:shd w:val="clear" w:color="auto" w:fill="auto"/>
            <w:tcMar>
              <w:top w:w="0" w:type="dxa"/>
              <w:left w:w="90" w:type="dxa"/>
              <w:bottom w:w="0" w:type="dxa"/>
              <w:right w:w="90" w:type="dxa"/>
            </w:tcMar>
          </w:tcPr>
          <w:p w14:paraId="399689D8" w14:textId="77777777" w:rsidR="005D2F23" w:rsidRDefault="0062045D">
            <w:pPr>
              <w:spacing w:before="240" w:after="240" w:line="240" w:lineRule="auto"/>
            </w:pPr>
            <w:r>
              <w:rPr>
                <w:rFonts w:eastAsia="Aptos" w:cs="Aptos"/>
                <w:b/>
                <w:bCs/>
              </w:rPr>
              <w:t>Carrefour Hospital</w:t>
            </w:r>
          </w:p>
        </w:tc>
        <w:tc>
          <w:tcPr>
            <w:tcW w:w="6527" w:type="dxa"/>
            <w:tcBorders>
              <w:top w:val="single" w:sz="4" w:space="0" w:color="BFBFBF"/>
              <w:left w:val="single" w:sz="4" w:space="0" w:color="BFBFBF"/>
              <w:bottom w:val="single" w:sz="4" w:space="0" w:color="BFBFBF"/>
              <w:right w:val="single" w:sz="6" w:space="0" w:color="000000"/>
            </w:tcBorders>
            <w:shd w:val="clear" w:color="auto" w:fill="auto"/>
            <w:tcMar>
              <w:top w:w="0" w:type="dxa"/>
              <w:left w:w="90" w:type="dxa"/>
              <w:bottom w:w="0" w:type="dxa"/>
              <w:right w:w="90" w:type="dxa"/>
            </w:tcMar>
          </w:tcPr>
          <w:p w14:paraId="399689D9" w14:textId="77777777" w:rsidR="005D2F23" w:rsidRDefault="0062045D">
            <w:pPr>
              <w:pStyle w:val="ListParagraph"/>
              <w:numPr>
                <w:ilvl w:val="0"/>
                <w:numId w:val="2"/>
              </w:numPr>
              <w:spacing w:after="0" w:line="240" w:lineRule="auto"/>
              <w:rPr>
                <w:rFonts w:eastAsia="Aptos" w:cs="Aptos"/>
              </w:rPr>
            </w:pPr>
            <w:r>
              <w:rPr>
                <w:rFonts w:eastAsia="Aptos" w:cs="Aptos"/>
              </w:rPr>
              <w:t>Emergency trauma care.</w:t>
            </w:r>
          </w:p>
          <w:p w14:paraId="399689DA" w14:textId="77777777" w:rsidR="005D2F23" w:rsidRDefault="0062045D">
            <w:pPr>
              <w:pStyle w:val="ListParagraph"/>
              <w:numPr>
                <w:ilvl w:val="0"/>
                <w:numId w:val="2"/>
              </w:numPr>
              <w:spacing w:after="0" w:line="240" w:lineRule="auto"/>
              <w:rPr>
                <w:rFonts w:eastAsia="Aptos" w:cs="Aptos"/>
              </w:rPr>
            </w:pPr>
            <w:r>
              <w:rPr>
                <w:rFonts w:eastAsia="Aptos" w:cs="Aptos"/>
              </w:rPr>
              <w:t>Trauma surgery.</w:t>
            </w:r>
          </w:p>
          <w:p w14:paraId="399689DB" w14:textId="77777777" w:rsidR="005D2F23" w:rsidRDefault="0062045D">
            <w:pPr>
              <w:pStyle w:val="ListParagraph"/>
              <w:numPr>
                <w:ilvl w:val="0"/>
                <w:numId w:val="2"/>
              </w:numPr>
              <w:spacing w:after="0" w:line="240" w:lineRule="auto"/>
              <w:rPr>
                <w:rFonts w:eastAsia="Aptos" w:cs="Aptos"/>
              </w:rPr>
            </w:pPr>
            <w:r>
              <w:rPr>
                <w:rFonts w:eastAsia="Aptos" w:cs="Aptos"/>
              </w:rPr>
              <w:t>Trauma care and hospitalization.</w:t>
            </w:r>
          </w:p>
          <w:p w14:paraId="399689DC" w14:textId="77777777" w:rsidR="005D2F23" w:rsidRDefault="0062045D">
            <w:pPr>
              <w:pStyle w:val="ListParagraph"/>
              <w:numPr>
                <w:ilvl w:val="0"/>
                <w:numId w:val="2"/>
              </w:numPr>
              <w:spacing w:after="0" w:line="240" w:lineRule="auto"/>
              <w:rPr>
                <w:rFonts w:eastAsia="Aptos" w:cs="Aptos"/>
              </w:rPr>
            </w:pPr>
            <w:r>
              <w:rPr>
                <w:rFonts w:eastAsia="Aptos" w:cs="Aptos"/>
              </w:rPr>
              <w:t>Specialized trauma consultations.</w:t>
            </w:r>
          </w:p>
          <w:p w14:paraId="399689DD" w14:textId="77777777" w:rsidR="005D2F23" w:rsidRDefault="0062045D">
            <w:pPr>
              <w:pStyle w:val="ListParagraph"/>
              <w:numPr>
                <w:ilvl w:val="0"/>
                <w:numId w:val="2"/>
              </w:numPr>
              <w:spacing w:after="0" w:line="240" w:lineRule="auto"/>
              <w:rPr>
                <w:rFonts w:eastAsia="Aptos" w:cs="Aptos"/>
              </w:rPr>
            </w:pPr>
            <w:r>
              <w:rPr>
                <w:rFonts w:eastAsia="Aptos" w:cs="Aptos"/>
              </w:rPr>
              <w:t>Mental health support.</w:t>
            </w:r>
          </w:p>
          <w:p w14:paraId="399689DE" w14:textId="77777777" w:rsidR="005D2F23" w:rsidRDefault="0062045D">
            <w:pPr>
              <w:pStyle w:val="ListParagraph"/>
              <w:numPr>
                <w:ilvl w:val="0"/>
                <w:numId w:val="2"/>
              </w:numPr>
              <w:spacing w:after="0" w:line="240" w:lineRule="auto"/>
              <w:rPr>
                <w:rFonts w:eastAsia="Aptos" w:cs="Aptos"/>
              </w:rPr>
            </w:pPr>
            <w:r>
              <w:rPr>
                <w:rFonts w:eastAsia="Aptos" w:cs="Aptos"/>
              </w:rPr>
              <w:t>Physiotherapy.</w:t>
            </w:r>
          </w:p>
        </w:tc>
      </w:tr>
      <w:tr w:rsidR="005D2F23" w14:paraId="399689E7" w14:textId="77777777">
        <w:tblPrEx>
          <w:tblCellMar>
            <w:top w:w="0" w:type="dxa"/>
            <w:bottom w:w="0" w:type="dxa"/>
          </w:tblCellMar>
        </w:tblPrEx>
        <w:trPr>
          <w:trHeight w:val="300"/>
        </w:trPr>
        <w:tc>
          <w:tcPr>
            <w:tcW w:w="2833" w:type="dxa"/>
            <w:tcBorders>
              <w:top w:val="single" w:sz="4" w:space="0" w:color="BFBFBF"/>
              <w:left w:val="single" w:sz="6" w:space="0" w:color="000000"/>
              <w:bottom w:val="single" w:sz="4" w:space="0" w:color="BFBFBF"/>
              <w:right w:val="single" w:sz="4" w:space="0" w:color="BFBFBF"/>
            </w:tcBorders>
            <w:shd w:val="clear" w:color="auto" w:fill="auto"/>
            <w:tcMar>
              <w:top w:w="0" w:type="dxa"/>
              <w:left w:w="90" w:type="dxa"/>
              <w:bottom w:w="0" w:type="dxa"/>
              <w:right w:w="90" w:type="dxa"/>
            </w:tcMar>
          </w:tcPr>
          <w:p w14:paraId="399689E0" w14:textId="77777777" w:rsidR="005D2F23" w:rsidRDefault="0062045D">
            <w:pPr>
              <w:spacing w:before="240" w:after="240" w:line="240" w:lineRule="auto"/>
            </w:pPr>
            <w:r>
              <w:rPr>
                <w:rFonts w:eastAsia="Aptos" w:cs="Aptos"/>
                <w:b/>
                <w:bCs/>
              </w:rPr>
              <w:t>Pran Men'm Clinic</w:t>
            </w:r>
          </w:p>
          <w:p w14:paraId="399689E1" w14:textId="77777777" w:rsidR="005D2F23" w:rsidRDefault="0062045D">
            <w:pPr>
              <w:spacing w:before="240" w:after="240" w:line="240" w:lineRule="auto"/>
            </w:pPr>
            <w:r>
              <w:rPr>
                <w:rFonts w:eastAsia="Aptos" w:cs="Aptos"/>
              </w:rPr>
              <w:t xml:space="preserve"> And</w:t>
            </w:r>
          </w:p>
          <w:p w14:paraId="399689E2" w14:textId="77777777" w:rsidR="005D2F23" w:rsidRDefault="0062045D">
            <w:pPr>
              <w:spacing w:before="240" w:after="240" w:line="240" w:lineRule="auto"/>
            </w:pPr>
            <w:r>
              <w:rPr>
                <w:rFonts w:eastAsia="Aptos" w:cs="Aptos"/>
                <w:b/>
                <w:bCs/>
              </w:rPr>
              <w:t>Carrefour Maternity Hospital</w:t>
            </w:r>
          </w:p>
        </w:tc>
        <w:tc>
          <w:tcPr>
            <w:tcW w:w="6527" w:type="dxa"/>
            <w:tcBorders>
              <w:top w:val="single" w:sz="4" w:space="0" w:color="BFBFBF"/>
              <w:left w:val="single" w:sz="4" w:space="0" w:color="BFBFBF"/>
              <w:bottom w:val="single" w:sz="4" w:space="0" w:color="BFBFBF"/>
              <w:right w:val="single" w:sz="6" w:space="0" w:color="000000"/>
            </w:tcBorders>
            <w:shd w:val="clear" w:color="auto" w:fill="auto"/>
            <w:tcMar>
              <w:top w:w="0" w:type="dxa"/>
              <w:left w:w="90" w:type="dxa"/>
              <w:bottom w:w="0" w:type="dxa"/>
              <w:right w:w="90" w:type="dxa"/>
            </w:tcMar>
          </w:tcPr>
          <w:p w14:paraId="399689E3" w14:textId="77777777" w:rsidR="005D2F23" w:rsidRDefault="0062045D">
            <w:pPr>
              <w:pStyle w:val="ListParagraph"/>
              <w:numPr>
                <w:ilvl w:val="0"/>
                <w:numId w:val="3"/>
              </w:numPr>
              <w:spacing w:after="0" w:line="240" w:lineRule="auto"/>
              <w:rPr>
                <w:rFonts w:eastAsia="Aptos" w:cs="Aptos"/>
              </w:rPr>
            </w:pPr>
            <w:r>
              <w:rPr>
                <w:rFonts w:eastAsia="Aptos" w:cs="Aptos"/>
              </w:rPr>
              <w:t>Support for survivors of sexual and gender-based violence.</w:t>
            </w:r>
          </w:p>
          <w:p w14:paraId="399689E4" w14:textId="77777777" w:rsidR="005D2F23" w:rsidRDefault="0062045D">
            <w:pPr>
              <w:pStyle w:val="ListParagraph"/>
              <w:numPr>
                <w:ilvl w:val="0"/>
                <w:numId w:val="3"/>
              </w:numPr>
              <w:spacing w:after="0" w:line="240" w:lineRule="auto"/>
              <w:rPr>
                <w:rFonts w:eastAsia="Aptos" w:cs="Aptos"/>
              </w:rPr>
            </w:pPr>
            <w:r>
              <w:rPr>
                <w:rFonts w:eastAsia="Aptos" w:cs="Aptos"/>
              </w:rPr>
              <w:t>Medical care.</w:t>
            </w:r>
          </w:p>
          <w:p w14:paraId="399689E5" w14:textId="77777777" w:rsidR="005D2F23" w:rsidRDefault="0062045D">
            <w:pPr>
              <w:pStyle w:val="ListParagraph"/>
              <w:numPr>
                <w:ilvl w:val="0"/>
                <w:numId w:val="3"/>
              </w:numPr>
              <w:spacing w:after="0" w:line="240" w:lineRule="auto"/>
              <w:rPr>
                <w:rFonts w:eastAsia="Aptos" w:cs="Aptos"/>
              </w:rPr>
            </w:pPr>
            <w:r>
              <w:rPr>
                <w:rFonts w:eastAsia="Aptos" w:cs="Aptos"/>
              </w:rPr>
              <w:t>Psychological support.</w:t>
            </w:r>
          </w:p>
          <w:p w14:paraId="399689E6" w14:textId="77777777" w:rsidR="005D2F23" w:rsidRDefault="0062045D">
            <w:pPr>
              <w:pStyle w:val="ListParagraph"/>
              <w:numPr>
                <w:ilvl w:val="0"/>
                <w:numId w:val="3"/>
              </w:numPr>
              <w:spacing w:after="0" w:line="240" w:lineRule="auto"/>
              <w:rPr>
                <w:rFonts w:eastAsia="Aptos" w:cs="Aptos"/>
              </w:rPr>
            </w:pPr>
            <w:r>
              <w:rPr>
                <w:rFonts w:eastAsia="Aptos" w:cs="Aptos"/>
              </w:rPr>
              <w:t>Social assistance.</w:t>
            </w:r>
          </w:p>
        </w:tc>
      </w:tr>
      <w:tr w:rsidR="005D2F23" w14:paraId="399689EC" w14:textId="77777777">
        <w:tblPrEx>
          <w:tblCellMar>
            <w:top w:w="0" w:type="dxa"/>
            <w:bottom w:w="0" w:type="dxa"/>
          </w:tblCellMar>
        </w:tblPrEx>
        <w:trPr>
          <w:trHeight w:val="300"/>
        </w:trPr>
        <w:tc>
          <w:tcPr>
            <w:tcW w:w="2833" w:type="dxa"/>
            <w:tcBorders>
              <w:top w:val="single" w:sz="4" w:space="0" w:color="BFBFBF"/>
              <w:left w:val="single" w:sz="6" w:space="0" w:color="000000"/>
              <w:bottom w:val="single" w:sz="4" w:space="0" w:color="BFBFBF"/>
              <w:right w:val="single" w:sz="4" w:space="0" w:color="BFBFBF"/>
            </w:tcBorders>
            <w:shd w:val="clear" w:color="auto" w:fill="auto"/>
            <w:tcMar>
              <w:top w:w="0" w:type="dxa"/>
              <w:left w:w="90" w:type="dxa"/>
              <w:bottom w:w="0" w:type="dxa"/>
              <w:right w:w="90" w:type="dxa"/>
            </w:tcMar>
          </w:tcPr>
          <w:p w14:paraId="399689E8" w14:textId="77777777" w:rsidR="005D2F23" w:rsidRDefault="0062045D">
            <w:pPr>
              <w:spacing w:before="240" w:after="240" w:line="240" w:lineRule="auto"/>
            </w:pPr>
            <w:r>
              <w:rPr>
                <w:rFonts w:eastAsia="Aptos" w:cs="Aptos"/>
                <w:b/>
                <w:bCs/>
              </w:rPr>
              <w:t xml:space="preserve">WASH </w:t>
            </w:r>
            <w:r>
              <w:rPr>
                <w:rFonts w:eastAsia="Aptos" w:cs="Aptos"/>
                <w:b/>
                <w:bCs/>
              </w:rPr>
              <w:t>Services</w:t>
            </w:r>
          </w:p>
        </w:tc>
        <w:tc>
          <w:tcPr>
            <w:tcW w:w="6527" w:type="dxa"/>
            <w:tcBorders>
              <w:top w:val="single" w:sz="4" w:space="0" w:color="BFBFBF"/>
              <w:left w:val="single" w:sz="4" w:space="0" w:color="BFBFBF"/>
              <w:bottom w:val="single" w:sz="4" w:space="0" w:color="BFBFBF"/>
              <w:right w:val="single" w:sz="6" w:space="0" w:color="000000"/>
            </w:tcBorders>
            <w:shd w:val="clear" w:color="auto" w:fill="auto"/>
            <w:tcMar>
              <w:top w:w="0" w:type="dxa"/>
              <w:left w:w="90" w:type="dxa"/>
              <w:bottom w:w="0" w:type="dxa"/>
              <w:right w:w="90" w:type="dxa"/>
            </w:tcMar>
          </w:tcPr>
          <w:p w14:paraId="399689E9" w14:textId="77777777" w:rsidR="005D2F23" w:rsidRDefault="0062045D">
            <w:pPr>
              <w:pStyle w:val="ListParagraph"/>
              <w:numPr>
                <w:ilvl w:val="0"/>
                <w:numId w:val="4"/>
              </w:numPr>
              <w:spacing w:after="0" w:line="240" w:lineRule="auto"/>
              <w:rPr>
                <w:rFonts w:eastAsia="Aptos" w:cs="Aptos"/>
              </w:rPr>
            </w:pPr>
            <w:r>
              <w:rPr>
                <w:rFonts w:eastAsia="Aptos" w:cs="Aptos"/>
              </w:rPr>
              <w:t>Access to potable water and latrine installation in displaced persons’ sites.</w:t>
            </w:r>
          </w:p>
          <w:p w14:paraId="399689EA" w14:textId="77777777" w:rsidR="005D2F23" w:rsidRDefault="0062045D">
            <w:pPr>
              <w:pStyle w:val="ListParagraph"/>
              <w:numPr>
                <w:ilvl w:val="0"/>
                <w:numId w:val="4"/>
              </w:numPr>
              <w:spacing w:after="0" w:line="240" w:lineRule="auto"/>
              <w:rPr>
                <w:rFonts w:eastAsia="Aptos" w:cs="Aptos"/>
              </w:rPr>
            </w:pPr>
            <w:r>
              <w:rPr>
                <w:rFonts w:eastAsia="Aptos" w:cs="Aptos"/>
              </w:rPr>
              <w:t>Health and hygiene awareness.</w:t>
            </w:r>
          </w:p>
          <w:p w14:paraId="399689EB" w14:textId="77777777" w:rsidR="005D2F23" w:rsidRDefault="005D2F23">
            <w:pPr>
              <w:pStyle w:val="ListParagraph"/>
              <w:spacing w:after="0" w:line="240" w:lineRule="auto"/>
              <w:rPr>
                <w:rFonts w:eastAsia="Aptos" w:cs="Aptos"/>
                <w:color w:val="000000"/>
              </w:rPr>
            </w:pPr>
          </w:p>
        </w:tc>
      </w:tr>
      <w:tr w:rsidR="005D2F23" w14:paraId="399689EF" w14:textId="77777777">
        <w:tblPrEx>
          <w:tblCellMar>
            <w:top w:w="0" w:type="dxa"/>
            <w:bottom w:w="0" w:type="dxa"/>
          </w:tblCellMar>
        </w:tblPrEx>
        <w:trPr>
          <w:trHeight w:val="300"/>
        </w:trPr>
        <w:tc>
          <w:tcPr>
            <w:tcW w:w="2833" w:type="dxa"/>
            <w:tcBorders>
              <w:top w:val="single" w:sz="4" w:space="0" w:color="BFBFBF"/>
              <w:left w:val="single" w:sz="6" w:space="0" w:color="000000"/>
              <w:bottom w:val="single" w:sz="6" w:space="0" w:color="000000"/>
              <w:right w:val="single" w:sz="4" w:space="0" w:color="BFBFBF"/>
            </w:tcBorders>
            <w:shd w:val="clear" w:color="auto" w:fill="auto"/>
            <w:tcMar>
              <w:top w:w="0" w:type="dxa"/>
              <w:left w:w="90" w:type="dxa"/>
              <w:bottom w:w="0" w:type="dxa"/>
              <w:right w:w="90" w:type="dxa"/>
            </w:tcMar>
          </w:tcPr>
          <w:p w14:paraId="399689ED" w14:textId="77777777" w:rsidR="005D2F23" w:rsidRDefault="0062045D">
            <w:pPr>
              <w:spacing w:before="240" w:after="240" w:line="240" w:lineRule="auto"/>
            </w:pPr>
            <w:r>
              <w:rPr>
                <w:rFonts w:eastAsia="Aptos" w:cs="Aptos"/>
                <w:b/>
                <w:bCs/>
              </w:rPr>
              <w:lastRenderedPageBreak/>
              <w:t>Isaïe Jeanty Maternity Hospital</w:t>
            </w:r>
          </w:p>
        </w:tc>
        <w:tc>
          <w:tcPr>
            <w:tcW w:w="6527" w:type="dxa"/>
            <w:tcBorders>
              <w:top w:val="single" w:sz="4" w:space="0" w:color="BFBFBF"/>
              <w:left w:val="single" w:sz="4" w:space="0" w:color="BFBFBF"/>
              <w:bottom w:val="single" w:sz="6" w:space="0" w:color="000000"/>
              <w:right w:val="single" w:sz="6" w:space="0" w:color="000000"/>
            </w:tcBorders>
            <w:shd w:val="clear" w:color="auto" w:fill="auto"/>
            <w:tcMar>
              <w:top w:w="0" w:type="dxa"/>
              <w:left w:w="90" w:type="dxa"/>
              <w:bottom w:w="0" w:type="dxa"/>
              <w:right w:w="90" w:type="dxa"/>
            </w:tcMar>
          </w:tcPr>
          <w:p w14:paraId="399689EE" w14:textId="77777777" w:rsidR="005D2F23" w:rsidRDefault="0062045D">
            <w:pPr>
              <w:pStyle w:val="ListParagraph"/>
              <w:numPr>
                <w:ilvl w:val="0"/>
                <w:numId w:val="5"/>
              </w:numPr>
              <w:spacing w:after="0" w:line="240" w:lineRule="auto"/>
              <w:rPr>
                <w:rFonts w:eastAsia="Aptos" w:cs="Aptos"/>
              </w:rPr>
            </w:pPr>
            <w:r>
              <w:rPr>
                <w:rFonts w:eastAsia="Aptos" w:cs="Aptos"/>
              </w:rPr>
              <w:t>Construction and rehabilitation.</w:t>
            </w:r>
          </w:p>
        </w:tc>
      </w:tr>
    </w:tbl>
    <w:p w14:paraId="399689F0" w14:textId="77777777" w:rsidR="005D2F23" w:rsidRDefault="005D2F23">
      <w:pPr>
        <w:spacing w:after="0"/>
        <w:rPr>
          <w:rFonts w:eastAsia="Aptos" w:cs="Aptos"/>
        </w:rPr>
      </w:pPr>
    </w:p>
    <w:p w14:paraId="399689F1" w14:textId="77777777" w:rsidR="005D2F23" w:rsidRDefault="0062045D">
      <w:pPr>
        <w:spacing w:before="240" w:after="240"/>
      </w:pPr>
      <w:r>
        <w:rPr>
          <w:rFonts w:eastAsia="Aptos" w:cs="Aptos"/>
          <w:b/>
          <w:bCs/>
        </w:rPr>
        <w:t>Note</w:t>
      </w:r>
      <w:r>
        <w:rPr>
          <w:rFonts w:eastAsia="Aptos" w:cs="Aptos"/>
        </w:rPr>
        <w:t xml:space="preserve">: Patient transport via ambulance and services at the </w:t>
      </w:r>
      <w:r>
        <w:rPr>
          <w:rFonts w:eastAsia="Aptos" w:cs="Aptos"/>
        </w:rPr>
        <w:t>Turgeau Hospital remains suspended until further notice due to the current security context.</w:t>
      </w:r>
    </w:p>
    <w:p w14:paraId="399689F2" w14:textId="77777777" w:rsidR="005D2F23" w:rsidRDefault="005D2F23"/>
    <w:p w14:paraId="399689F3" w14:textId="77777777" w:rsidR="005D2F23" w:rsidRDefault="0062045D">
      <w:pPr>
        <w:spacing w:before="240" w:after="240"/>
      </w:pPr>
      <w:r>
        <w:rPr>
          <w:rFonts w:eastAsia="Aptos" w:cs="Aptos"/>
          <w:b/>
          <w:bCs/>
        </w:rPr>
        <w:t>About MSF</w:t>
      </w:r>
    </w:p>
    <w:p w14:paraId="399689F4" w14:textId="77777777" w:rsidR="005D2F23" w:rsidRDefault="0062045D">
      <w:pPr>
        <w:spacing w:before="240" w:after="240"/>
      </w:pPr>
      <w:r>
        <w:rPr>
          <w:rFonts w:eastAsia="Aptos" w:cs="Aptos"/>
        </w:rPr>
        <w:t>Médecins Sans Frontières is an international medical humanitarian organization providing emergency care in more than 70 countries. Present in Haiti for 33 years, our teams respond to the most severe crises to save lives, regardless of political, religious, or economic considerations.</w:t>
      </w:r>
    </w:p>
    <w:p w14:paraId="399689F5" w14:textId="77777777" w:rsidR="005D2F23" w:rsidRDefault="005D2F23"/>
    <w:sectPr w:rsidR="005D2F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89C1" w14:textId="77777777" w:rsidR="0062045D" w:rsidRDefault="0062045D">
      <w:pPr>
        <w:spacing w:after="0" w:line="240" w:lineRule="auto"/>
      </w:pPr>
      <w:r>
        <w:separator/>
      </w:r>
    </w:p>
  </w:endnote>
  <w:endnote w:type="continuationSeparator" w:id="0">
    <w:p w14:paraId="399689C3" w14:textId="77777777" w:rsidR="0062045D" w:rsidRDefault="0062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89BD" w14:textId="77777777" w:rsidR="0062045D" w:rsidRDefault="0062045D">
      <w:pPr>
        <w:spacing w:after="0" w:line="240" w:lineRule="auto"/>
      </w:pPr>
      <w:r>
        <w:rPr>
          <w:color w:val="000000"/>
        </w:rPr>
        <w:separator/>
      </w:r>
    </w:p>
  </w:footnote>
  <w:footnote w:type="continuationSeparator" w:id="0">
    <w:p w14:paraId="399689BF" w14:textId="77777777" w:rsidR="0062045D" w:rsidRDefault="00620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759"/>
    <w:multiLevelType w:val="multilevel"/>
    <w:tmpl w:val="497682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CAC4BFB"/>
    <w:multiLevelType w:val="multilevel"/>
    <w:tmpl w:val="4AA4D6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C2123CC"/>
    <w:multiLevelType w:val="multilevel"/>
    <w:tmpl w:val="EDEE6E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5E907D90"/>
    <w:multiLevelType w:val="multilevel"/>
    <w:tmpl w:val="981E65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6AC799D"/>
    <w:multiLevelType w:val="multilevel"/>
    <w:tmpl w:val="85C8F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641620240">
    <w:abstractNumId w:val="0"/>
  </w:num>
  <w:num w:numId="2" w16cid:durableId="1831285800">
    <w:abstractNumId w:val="1"/>
  </w:num>
  <w:num w:numId="3" w16cid:durableId="62921543">
    <w:abstractNumId w:val="4"/>
  </w:num>
  <w:num w:numId="4" w16cid:durableId="1398210825">
    <w:abstractNumId w:val="3"/>
  </w:num>
  <w:num w:numId="5" w16cid:durableId="1741781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D2F23"/>
    <w:rsid w:val="005D2F23"/>
    <w:rsid w:val="0062045D"/>
    <w:rsid w:val="00705D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99689BD"/>
  <w15:docId w15:val="{35125CC5-AC8E-4718-AB7E-DEB026FF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MS Mincho" w:hAnsi="Aptos" w:cs="Arial"/>
        <w:sz w:val="24"/>
        <w:szCs w:val="24"/>
        <w:lang w:val="en-US" w:eastAsia="ja-JP"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MS Gothic"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MS Gothic"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MS Gothic"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MS Gothic"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MS Gothic"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MS Gothic" w:cs="Times New Roman"/>
      <w:i/>
      <w:iCs/>
      <w:color w:val="595959"/>
    </w:rPr>
  </w:style>
  <w:style w:type="paragraph" w:styleId="Heading7">
    <w:name w:val="heading 7"/>
    <w:basedOn w:val="Normal"/>
    <w:next w:val="Normal"/>
    <w:pPr>
      <w:keepNext/>
      <w:keepLines/>
      <w:spacing w:before="40" w:after="0"/>
      <w:outlineLvl w:val="6"/>
    </w:pPr>
    <w:rPr>
      <w:rFonts w:eastAsia="MS Gothic" w:cs="Times New Roman"/>
      <w:color w:val="595959"/>
    </w:rPr>
  </w:style>
  <w:style w:type="paragraph" w:styleId="Heading8">
    <w:name w:val="heading 8"/>
    <w:basedOn w:val="Normal"/>
    <w:next w:val="Normal"/>
    <w:pPr>
      <w:keepNext/>
      <w:keepLines/>
      <w:spacing w:after="0"/>
      <w:outlineLvl w:val="7"/>
    </w:pPr>
    <w:rPr>
      <w:rFonts w:eastAsia="MS Gothic" w:cs="Times New Roman"/>
      <w:i/>
      <w:iCs/>
      <w:color w:val="272727"/>
    </w:rPr>
  </w:style>
  <w:style w:type="paragraph" w:styleId="Heading9">
    <w:name w:val="heading 9"/>
    <w:basedOn w:val="Normal"/>
    <w:next w:val="Normal"/>
    <w:pPr>
      <w:keepNext/>
      <w:keepLines/>
      <w:spacing w:after="0"/>
      <w:outlineLvl w:val="8"/>
    </w:pPr>
    <w:rPr>
      <w:rFonts w:eastAsia="MS Gothic"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MS Gothic" w:hAnsi="Aptos Display" w:cs="Times New Roman"/>
      <w:color w:val="0F4761"/>
      <w:sz w:val="40"/>
      <w:szCs w:val="40"/>
    </w:rPr>
  </w:style>
  <w:style w:type="character" w:customStyle="1" w:styleId="Heading2Char">
    <w:name w:val="Heading 2 Char"/>
    <w:basedOn w:val="DefaultParagraphFont"/>
    <w:rPr>
      <w:rFonts w:ascii="Aptos Display" w:eastAsia="MS Gothic" w:hAnsi="Aptos Display" w:cs="Times New Roman"/>
      <w:color w:val="0F4761"/>
      <w:sz w:val="32"/>
      <w:szCs w:val="32"/>
    </w:rPr>
  </w:style>
  <w:style w:type="character" w:customStyle="1" w:styleId="Heading3Char">
    <w:name w:val="Heading 3 Char"/>
    <w:basedOn w:val="DefaultParagraphFont"/>
    <w:rPr>
      <w:rFonts w:eastAsia="MS Gothic" w:cs="Times New Roman"/>
      <w:color w:val="0F4761"/>
      <w:sz w:val="28"/>
      <w:szCs w:val="28"/>
    </w:rPr>
  </w:style>
  <w:style w:type="character" w:customStyle="1" w:styleId="Heading4Char">
    <w:name w:val="Heading 4 Char"/>
    <w:basedOn w:val="DefaultParagraphFont"/>
    <w:rPr>
      <w:rFonts w:eastAsia="MS Gothic" w:cs="Times New Roman"/>
      <w:i/>
      <w:iCs/>
      <w:color w:val="0F4761"/>
    </w:rPr>
  </w:style>
  <w:style w:type="character" w:customStyle="1" w:styleId="Heading5Char">
    <w:name w:val="Heading 5 Char"/>
    <w:basedOn w:val="DefaultParagraphFont"/>
    <w:rPr>
      <w:rFonts w:eastAsia="MS Gothic" w:cs="Times New Roman"/>
      <w:color w:val="0F4761"/>
    </w:rPr>
  </w:style>
  <w:style w:type="character" w:customStyle="1" w:styleId="Heading6Char">
    <w:name w:val="Heading 6 Char"/>
    <w:basedOn w:val="DefaultParagraphFont"/>
    <w:rPr>
      <w:rFonts w:eastAsia="MS Gothic" w:cs="Times New Roman"/>
      <w:i/>
      <w:iCs/>
      <w:color w:val="595959"/>
    </w:rPr>
  </w:style>
  <w:style w:type="character" w:customStyle="1" w:styleId="Heading7Char">
    <w:name w:val="Heading 7 Char"/>
    <w:basedOn w:val="DefaultParagraphFont"/>
    <w:rPr>
      <w:rFonts w:eastAsia="MS Gothic" w:cs="Times New Roman"/>
      <w:color w:val="595959"/>
    </w:rPr>
  </w:style>
  <w:style w:type="character" w:customStyle="1" w:styleId="Heading8Char">
    <w:name w:val="Heading 8 Char"/>
    <w:basedOn w:val="DefaultParagraphFont"/>
    <w:rPr>
      <w:rFonts w:eastAsia="MS Gothic" w:cs="Times New Roman"/>
      <w:i/>
      <w:iCs/>
      <w:color w:val="272727"/>
    </w:rPr>
  </w:style>
  <w:style w:type="character" w:customStyle="1" w:styleId="Heading9Char">
    <w:name w:val="Heading 9 Char"/>
    <w:basedOn w:val="DefaultParagraphFont"/>
    <w:rPr>
      <w:rFonts w:eastAsia="MS Gothic" w:cs="Times New Roman"/>
      <w:color w:val="272727"/>
    </w:rPr>
  </w:style>
  <w:style w:type="character" w:customStyle="1" w:styleId="TitleChar">
    <w:name w:val="Title Char"/>
    <w:basedOn w:val="DefaultParagraphFont"/>
    <w:rPr>
      <w:rFonts w:ascii="Aptos Display" w:eastAsia="MS Gothic" w:hAnsi="Aptos Display" w:cs="Times New Roman"/>
      <w:spacing w:val="-10"/>
      <w:kern w:val="3"/>
      <w:sz w:val="56"/>
      <w:szCs w:val="56"/>
    </w:rPr>
  </w:style>
  <w:style w:type="paragraph" w:styleId="Title">
    <w:name w:val="Title"/>
    <w:basedOn w:val="Normal"/>
    <w:next w:val="Normal"/>
    <w:uiPriority w:val="10"/>
    <w:qFormat/>
    <w:pPr>
      <w:spacing w:after="80" w:line="240" w:lineRule="auto"/>
      <w:contextualSpacing/>
    </w:pPr>
    <w:rPr>
      <w:rFonts w:ascii="Aptos Display" w:eastAsia="MS Gothic" w:hAnsi="Aptos Display" w:cs="Times New Roman"/>
      <w:spacing w:val="-10"/>
      <w:kern w:val="3"/>
      <w:sz w:val="56"/>
      <w:szCs w:val="56"/>
    </w:rPr>
  </w:style>
  <w:style w:type="character" w:customStyle="1" w:styleId="SubtitleChar">
    <w:name w:val="Subtitle Char"/>
    <w:basedOn w:val="DefaultParagraphFont"/>
    <w:rPr>
      <w:rFonts w:eastAsia="MS Gothic" w:cs="Times New Roman"/>
      <w:color w:val="595959"/>
      <w:spacing w:val="15"/>
      <w:sz w:val="28"/>
      <w:szCs w:val="28"/>
    </w:rPr>
  </w:style>
  <w:style w:type="paragraph" w:styleId="Subtitle">
    <w:name w:val="Subtitle"/>
    <w:basedOn w:val="Normal"/>
    <w:next w:val="Normal"/>
    <w:uiPriority w:val="11"/>
    <w:qFormat/>
    <w:rPr>
      <w:rFonts w:eastAsia="MS Gothic" w:cs="Times New Roman"/>
      <w:color w:val="595959"/>
      <w:spacing w:val="15"/>
      <w:sz w:val="28"/>
      <w:szCs w:val="28"/>
    </w:rPr>
  </w:style>
  <w:style w:type="character" w:styleId="IntenseEmphasis">
    <w:name w:val="Intense Emphasis"/>
    <w:basedOn w:val="DefaultParagraphFont"/>
    <w:rPr>
      <w:i/>
      <w:iCs/>
      <w:color w:val="0F4761"/>
    </w:rPr>
  </w:style>
  <w:style w:type="character" w:customStyle="1" w:styleId="QuoteChar">
    <w:name w:val="Quote Char"/>
    <w:basedOn w:val="DefaultParagraphFont"/>
    <w:rPr>
      <w:i/>
      <w:iCs/>
      <w:color w:val="404040"/>
    </w:rPr>
  </w:style>
  <w:style w:type="paragraph" w:styleId="Quote">
    <w:name w:val="Quote"/>
    <w:basedOn w:val="Normal"/>
    <w:next w:val="Normal"/>
    <w:pPr>
      <w:spacing w:before="160"/>
      <w:jc w:val="center"/>
    </w:pPr>
    <w:rPr>
      <w:i/>
      <w:iCs/>
      <w:color w:val="404040"/>
    </w:rPr>
  </w:style>
  <w:style w:type="character" w:customStyle="1" w:styleId="IntenseQuoteChar">
    <w:name w:val="Intense Quote Char"/>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rPr>
      <w:b/>
      <w:bCs/>
      <w:smallCaps/>
      <w:color w:val="0F4761"/>
      <w:spacing w:val="5"/>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3308</Characters>
  <Application>Microsoft Office Word</Application>
  <DocSecurity>4</DocSecurity>
  <Lines>87</Lines>
  <Paragraphs>64</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MSFOCB-Haiti-Com</dc:creator>
  <dc:description/>
  <cp:lastModifiedBy>Nkosi Mahlangu</cp:lastModifiedBy>
  <cp:revision>2</cp:revision>
  <dcterms:created xsi:type="dcterms:W3CDTF">2024-12-12T07:05:00Z</dcterms:created>
  <dcterms:modified xsi:type="dcterms:W3CDTF">2024-12-12T07:05:00Z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0x010100272E8ECB1E2C0A4487FF75D06ACA8CAC</vt:lpwstr>
  </property>
  <property fmtid="{D5CDD505-2E9C-101B-9397-08002B2CF9AE}" pid="3" name="_dlc_DocIdItemGuid">
    <vt:lpwstr>323abfa8-83aa-4849-b310-18999503a10c</vt:lpwstr>
  </property>
  <property fmtid="{D5CDD505-2E9C-101B-9397-08002B2CF9AE}" pid="4" name="MediaServiceImageTags">
    <vt:lpwstr/>
  </property>
</Properties>
</file>